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Minister Rodziny i Polityki Społecznej ogłasza nabór wniosków w ramach Programu „Opieka wytchnieniowa” </w:t>
      </w:r>
      <w:r>
        <w:rPr>
          <w:rFonts w:eastAsia="Symbol" w:cs="Symbol" w:ascii="Symbol" w:hAnsi="Symbol"/>
          <w:b/>
          <w:color w:val="FF0000"/>
          <w:sz w:val="24"/>
          <w:szCs w:val="24"/>
        </w:rPr>
        <w:t></w:t>
      </w:r>
      <w:r>
        <w:rPr>
          <w:rFonts w:cs="Times New Roman"/>
          <w:b/>
          <w:color w:val="FF0000"/>
          <w:sz w:val="24"/>
          <w:szCs w:val="24"/>
        </w:rPr>
        <w:t xml:space="preserve"> edycja 2023 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Podstawa prawna Programu</w:t>
      </w:r>
    </w:p>
    <w:p>
      <w:pPr>
        <w:pStyle w:val="Normal"/>
        <w:spacing w:lineRule="auto" w:line="360" w:before="0" w:after="0"/>
        <w:ind w:right="-1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Minister Rodziny i Polityki Społecznej, zwany dalej „Ministrem”, na podstawie art. 7 ust. 5 oraz art. 12 ust. 1 ustawy z dnia 23 października 2018 r. o Funduszu Solidarnościowym (Dz. U. z 2020 r. poz. 1787, z późn. zm.) ogłasza nabór wniosków na realizację Programu „Opieka wytchnieniowa” − edycja 2023”, zwanego dalej „Programem”.</w:t>
      </w:r>
    </w:p>
    <w:p>
      <w:pPr>
        <w:pStyle w:val="Normal"/>
        <w:spacing w:lineRule="auto" w:line="36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realizację Programu Minister przeznaczył kwotę 150 000 000,00 zł (słownie: sto pięćdziesiąt milionów złotych). </w:t>
      </w:r>
    </w:p>
    <w:p>
      <w:pPr>
        <w:pStyle w:val="Normal"/>
        <w:spacing w:lineRule="auto" w:line="24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Cele Programu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Głównym celem Programu jest wsparcie członków rodzin lub opiekunów sprawujących bezpośrednią opiekę nad: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dziećmi z orzeczeniem o niepełnosprawności;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osobami niepełnosprawnymi posiadającymi: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orzeczenie o znacznym stopniu niepełnosprawności albo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  <w:br/>
        <w:t>z późn. zm.).</w:t>
      </w:r>
    </w:p>
    <w:p>
      <w:pPr>
        <w:pStyle w:val="Normal"/>
        <w:spacing w:lineRule="auto" w:line="360" w:before="0" w:after="0"/>
        <w:ind w:left="709" w:hanging="0"/>
        <w:rPr>
          <w:rFonts w:eastAsia="Calibri" w:cs="Calibri" w:cstheme="minorHAnsi"/>
          <w:sz w:val="24"/>
          <w:szCs w:val="24"/>
        </w:rPr>
      </w:pPr>
      <w:bookmarkStart w:id="0" w:name="_Hlk114727894"/>
      <w:bookmarkEnd w:id="0"/>
      <w:r>
        <w:rPr>
          <w:rFonts w:eastAsia="Calibri" w:cs="Calibri" w:cstheme="minorHAnsi"/>
          <w:sz w:val="24"/>
          <w:szCs w:val="24"/>
        </w:rPr>
        <w:t>- poprzez możliwość uzyskania doraźnej, czasowej pomocy w formie usługi opieki wytchnieniowej.</w:t>
      </w:r>
    </w:p>
    <w:p>
      <w:pPr>
        <w:pStyle w:val="Normal"/>
        <w:snapToGrid w:val="false"/>
        <w:spacing w:lineRule="auto" w:line="360" w:before="0" w:after="0"/>
        <w:rPr>
          <w:rFonts w:eastAsia="Times New Roman" w:cs="Calibri" w:cstheme="minorHAnsi"/>
          <w:w w:val="110"/>
          <w:sz w:val="24"/>
          <w:szCs w:val="24"/>
        </w:rPr>
      </w:pPr>
      <w:r>
        <w:rPr>
          <w:rFonts w:eastAsia="Times New Roman" w:cs="Calibri" w:cstheme="minorHAnsi"/>
          <w:w w:val="110"/>
          <w:sz w:val="24"/>
          <w:szCs w:val="24"/>
        </w:rPr>
        <w:t>Program ma także zapewniać: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</w:rPr>
        <w:t xml:space="preserve">odniesieniu do rozwiązań systemowych: 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i opiekunów sprawujących bezpośrednią </w:t>
      </w:r>
      <w:r>
        <w:rPr>
          <w:rFonts w:eastAsia="Times New Roman" w:cs="Calibri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>
        <w:rPr>
          <w:rFonts w:cs="Calibri" w:cstheme="minorHAnsi"/>
          <w:sz w:val="24"/>
          <w:szCs w:val="24"/>
        </w:rPr>
        <w:t xml:space="preserve"> traktowanym na równi z orzeczeniem o znacznym stopniu niepełnosprawności,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wsparcie finansowe gmin/powiatów w zakresie realizacji usług opieki wytchnieniowej;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napToGrid w:val="false"/>
        <w:spacing w:lineRule="auto" w:line="360" w:before="0" w:after="0"/>
        <w:contextualSpacing/>
        <w:rPr>
          <w:rFonts w:eastAsia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odniesieniu do członków rodziny lub opiekunów osób niepełnosprawnych: </w:t>
      </w:r>
      <w:r>
        <w:rPr>
          <w:rFonts w:eastAsia="Times New Roman" w:cs="Calibri" w:cstheme="minorHAnsi"/>
          <w:w w:val="110"/>
          <w:sz w:val="24"/>
          <w:szCs w:val="24"/>
        </w:rPr>
        <w:t>czasowe odciążenie od codziennych obowiązków łączących się ze sprawowaniem opieki nad osoba niepełnosprawną, zapewnienie czasu na odpoczynek i regenerację.</w:t>
      </w:r>
    </w:p>
    <w:p>
      <w:pPr>
        <w:pStyle w:val="Normal"/>
        <w:spacing w:lineRule="auto" w:line="24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Rodzaj zadań</w:t>
      </w:r>
    </w:p>
    <w:p>
      <w:pPr>
        <w:pStyle w:val="Normal"/>
        <w:tabs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>
        <w:rPr>
          <w:rFonts w:eastAsia="Times New Roman" w:cs="Calibri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>
        <w:rPr>
          <w:rFonts w:eastAsia="Times New Roman" w:cs="Calibri" w:cstheme="minorHAnsi"/>
          <w:color w:val="000000"/>
          <w:sz w:val="24"/>
          <w:szCs w:val="24"/>
        </w:rPr>
        <w:t>dziećmi z orzeczeniem o niepełnosprawności lub nad osobami ze znacznym stopniem niepełnosprawności/osobami z orzeczeniem</w:t>
      </w:r>
      <w:r>
        <w:rPr>
          <w:rFonts w:cs="Calibri" w:cstheme="minorHAnsi"/>
          <w:sz w:val="24"/>
          <w:szCs w:val="24"/>
        </w:rPr>
        <w:t xml:space="preserve"> traktowanym na równi z orzeczeniem o znacznym stopniu niepełnosprawności</w:t>
      </w:r>
      <w:r>
        <w:rPr>
          <w:rFonts w:eastAsia="Times New Roman" w:cs="Calibri" w:cstheme="minorHAnsi"/>
          <w:color w:val="000000"/>
          <w:sz w:val="24"/>
          <w:szCs w:val="24"/>
        </w:rPr>
        <w:t>.</w:t>
      </w:r>
    </w:p>
    <w:p>
      <w:pPr>
        <w:pStyle w:val="ListParagrap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Podmioty uprawnione do składania wniosków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 dofinansowanie wniosku w ramach Programu mogą ubiegać się jednostki samorządu terytorialnego szczebla gminnego lub powiatowego.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Tryb przystąpienia do Programu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Gminy/powiaty składając do właściwego wojewody wniosek na środki finansowe z Programu w ramach Funduszu Solidarnościowego, którego wzór stanowi załącznik nr 1A lub 1B do Programu (załącznik nr 1A lub 1B w zależności od planowanej formy realizacji usług opieki wytchnieniowej), uwzględniają w nim w szczególności przewidywaną liczbę uczestników Programu i koszt realizacji usług opieki wytchnieniowej.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Wojewoda po dokonaniu oceny wniosków gmin/powiatów na środki finansowe z Programu pod względem formalnym, merytorycznym z uwzględnieniem racjonalnego i celowego wydatkowania środków sporządza listę rekomendowanych wniosków i przekazuje ją Ministrowi do weryfikacji i zatwierdzenia.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Termin realizacji zadań objętych finansowaniem i wysokość środków Funduszu Solidarnościowego przeznaczonych na ich realizację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Calibri" w:hAnsi="Calibri" w:cs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Program będzie realizowany od dnia 1 stycznia 2023 r. do 31 grudnia 2023 r. </w:t>
      </w:r>
      <w:r>
        <w:rPr>
          <w:rFonts w:cs="Times New Roman"/>
          <w:sz w:val="24"/>
          <w:szCs w:val="24"/>
        </w:rPr>
        <w:t>Za wydatki kwalifikowalne uznane zostaną wydatki faktycznie poniesione na realizację zadań w ramach Programu w tym terminie.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 xml:space="preserve">Źródłem finansowania Programu są środki ujęte w planie finansowym Funduszu Solidarnościowego na 2023 r. w kwocie 150 mln zł. Dysponentem środków Funduszu Solidarnościowego jest minister właściwy do spraw zabezpieczenia społecznego.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Realizacja Programu następuje w trybie naboru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Wojewoda sporządza i przekazuje Ministrowi wniosek wojewody na środki finansowe z Programu wraz z listą rekomendowanych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Minister weryfikuje, zatwierdza i zamieszcza listę rekomendowanych wniosków w Biuletynie Informacji Publicznej na stronie podmiotowej.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Wojewoda zamieszcza listę podmiotów, których wnioski zostały zatwierdzone wraz z kwotą przyznanych środków na swojej stronie internetowej oraz na swojej stronie podmiotowej w Biuletynie Informacji Publicznej w terminie 30 dni od opublikowania przez Ministra zatwierdzonej listy rekomendowanych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 zawieranych z gminą/powiatem.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Calibri" w:hAnsi="Calibri" w:eastAsia="Times New Roman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Podmioty realizujące zadania wynikające z umów zawartych w ramach Programu, są zobowiązane do posiadania wyodrębnionego rachunku bankowego dla środków z Programu oraz prowadzenia wyodrębnionej ewidencji księgowej otrzymanych środków i dokonywanych z tych środków wydatków, zgodnie z art. 17 </w:t>
      </w:r>
      <w:r>
        <w:rPr>
          <w:rFonts w:eastAsia="Times New Roman"/>
          <w:color w:val="000000"/>
          <w:sz w:val="24"/>
          <w:szCs w:val="24"/>
        </w:rPr>
        <w:t>ustawy</w:t>
      </w:r>
      <w:r>
        <w:rPr>
          <w:rFonts w:cs="Times New Roman"/>
          <w:sz w:val="24"/>
          <w:szCs w:val="24"/>
        </w:rPr>
        <w:t xml:space="preserve"> z dnia 23 października 2018 r. o Funduszu Solidarnościowym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ramach Programu gmina/powiat może otrzymać wsparcie finansowe do wysokości 100% kosztów realizacji usług opieki wytchnieniowej.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Ze środków Programu wójt, burmistrz, prezydent miasta/starosta może pokryć koszty obsługi Programu w wysokości faktycznie poniesionej, nie więcej niż 2% środków przekazanych na realizację tego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Wójt, burmistrz, prezydent miasta/starosta może przekazać podmiotom wskazanym w części V ust. 24 pkt 2 i 4 Programu koszty obsługi Programu stanowiące nie więcej niż 2% środków przekazanych danemu podmiotowi na realizację Programu w celu pokrycia wszelkich kosztów obsługi księgowej, kadrowych, administracyjnych, które pojawią się w związku z realizacją usług w ramach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Ze środków Programu Wojewoda może pokryć koszty obsługi Programu w wysokości faktycznie poniesionej, nie więcej niż 0,5% środków przekazanych na realizację tego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>
        <w:rPr>
          <w:rFonts w:cs="Calibri" w:cstheme="minorHAnsi"/>
          <w:sz w:val="24"/>
          <w:szCs w:val="24"/>
        </w:rPr>
        <w:t xml:space="preserve"> w ramach planu finansowego Funduszu Solidarnościowego na 2023 r. w pozycji „koszty realizacji zadań związanych z promowaniem i wspieraniem systemu wsparcia osób niepełnosprawnych”.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Maksymalna kwota dofinansowania dla jednego podmiotu (gmina/powiat) nie może przekroczyć kwoty 2 000 000 zł (słownie: dwa miliony złotych). 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 xml:space="preserve">VII. </w:t>
        <w:tab/>
        <w:t>Terminy naboru wniosków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Gmina/powiat składa wniosek na środki finansowe w ramach Programu do właściwego wojewody (zał. nr 1A lub 1B do Programu) </w:t>
      </w:r>
      <w:r>
        <w:rPr>
          <w:rFonts w:cs="Calibri" w:cstheme="minorHAnsi"/>
          <w:b/>
          <w:sz w:val="24"/>
          <w:szCs w:val="24"/>
        </w:rPr>
        <w:t xml:space="preserve">w terminie do dnia 10 listopada 2022 r. </w:t>
      </w:r>
      <w:r>
        <w:rPr>
          <w:rFonts w:cs="Calibri" w:cstheme="minorHAnsi"/>
          <w:sz w:val="24"/>
          <w:szCs w:val="24"/>
        </w:rPr>
        <w:t>(decyduje data wpływu do wojewody).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Wojewoda sporządza i przekazuje Ministrowi wniosek na środki finansowe w ramach Programu wraz z listą rekomendowanych wniosków, które stanowią odpowiednio (załącznik nr 2A lub 2B 3 do Programu) </w:t>
      </w:r>
      <w:r>
        <w:rPr>
          <w:rFonts w:cs="Calibri" w:cstheme="minorHAnsi"/>
          <w:b/>
          <w:sz w:val="24"/>
          <w:szCs w:val="24"/>
        </w:rPr>
        <w:t xml:space="preserve">w terminie do dnia 25 listopada 2022 r. </w:t>
      </w:r>
      <w:r>
        <w:rPr>
          <w:rFonts w:cs="Calibri" w:cstheme="minorHAnsi"/>
          <w:sz w:val="24"/>
          <w:szCs w:val="24"/>
        </w:rPr>
        <w:t>(decyduje data wpływu do Ministra).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VIII. </w:t>
        <w:tab/>
        <w:t>Termin rozpatrzenia wniosków</w:t>
      </w:r>
    </w:p>
    <w:p>
      <w:pPr>
        <w:pStyle w:val="Normal"/>
        <w:spacing w:lineRule="auto" w:line="360" w:before="0" w:after="160"/>
        <w:rPr/>
      </w:pPr>
      <w:r>
        <w:rPr>
          <w:rFonts w:cs="Calibri" w:cstheme="minorHAnsi"/>
          <w:sz w:val="24"/>
          <w:szCs w:val="24"/>
        </w:rPr>
        <w:t xml:space="preserve">Minister dokona ostatecznej weryfikacji i zatwierdzenia listy rekomendowanych wniosków złożonych przez wojewodów </w:t>
      </w:r>
      <w:r>
        <w:rPr>
          <w:rFonts w:cs="Calibri" w:cstheme="minorHAnsi"/>
          <w:b/>
          <w:sz w:val="24"/>
          <w:szCs w:val="24"/>
        </w:rPr>
        <w:t>w terminie do dnia 9</w:t>
      </w:r>
      <w:bookmarkStart w:id="1" w:name="_GoBack"/>
      <w:bookmarkEnd w:id="1"/>
      <w:r>
        <w:rPr>
          <w:rFonts w:cs="Calibri" w:cstheme="minorHAnsi"/>
          <w:b/>
          <w:sz w:val="24"/>
          <w:szCs w:val="24"/>
        </w:rPr>
        <w:t xml:space="preserve"> grudnia 2022 r.</w:t>
      </w:r>
    </w:p>
    <w:sectPr>
      <w:footerReference w:type="default" r:id="rId2"/>
      <w:type w:val="nextPage"/>
      <w:pgSz w:w="11906" w:h="16838"/>
      <w:pgMar w:left="1418" w:right="1418" w:header="0" w:top="1134" w:footer="34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650561"/>
    </w:sdtPr>
    <w:sdtContent>
      <w:p>
        <w:pPr>
          <w:pStyle w:val="Stopka"/>
          <w:jc w:val="center"/>
          <w:rPr/>
        </w:pPr>
        <w:r>
          <w:rPr/>
        </w:r>
      </w:p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4"/>
        <w:b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3d12d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14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2545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aa64d4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a64d4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65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f6532"/>
    <w:rPr>
      <w:vertAlign w:val="superscript"/>
    </w:rPr>
  </w:style>
  <w:style w:type="character" w:styleId="Articletitle" w:customStyle="1">
    <w:name w:val="articletitle"/>
    <w:qFormat/>
    <w:rsid w:val="00433b04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06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06c1"/>
    <w:rPr/>
  </w:style>
  <w:style w:type="character" w:styleId="Czeinternetowe">
    <w:name w:val="Łącze internetowe"/>
    <w:basedOn w:val="DefaultParagraphFont"/>
    <w:uiPriority w:val="99"/>
    <w:unhideWhenUsed/>
    <w:rsid w:val="00ac253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05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305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0551"/>
    <w:rPr>
      <w:b/>
      <w:bCs/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4a1e0d"/>
    <w:rPr/>
  </w:style>
  <w:style w:type="character" w:styleId="ListLabel1">
    <w:name w:val="ListLabel 1"/>
    <w:qFormat/>
    <w:rPr>
      <w:rFonts w:ascii="Calibri" w:hAnsi="Calibri"/>
      <w:color w:val="000000"/>
      <w:sz w:val="24"/>
    </w:rPr>
  </w:style>
  <w:style w:type="character" w:styleId="ListLabel2">
    <w:name w:val="ListLabel 2"/>
    <w:qFormat/>
    <w:rPr>
      <w:b/>
      <w:sz w:val="24"/>
      <w:szCs w:val="28"/>
    </w:rPr>
  </w:style>
  <w:style w:type="character" w:styleId="ListLabel3">
    <w:name w:val="ListLabel 3"/>
    <w:qFormat/>
    <w:rPr>
      <w:color w:val="4B4D4D"/>
      <w:w w:val="110"/>
    </w:rPr>
  </w:style>
  <w:style w:type="character" w:styleId="ListLabel4">
    <w:name w:val="ListLabel 4"/>
    <w:qFormat/>
    <w:rPr>
      <w:w w:val="100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w w:val="100"/>
    </w:rPr>
  </w:style>
  <w:style w:type="character" w:styleId="ListLabel25">
    <w:name w:val="ListLabel 25"/>
    <w:qFormat/>
    <w:rPr>
      <w:w w:val="100"/>
    </w:rPr>
  </w:style>
  <w:style w:type="character" w:styleId="ListLabel26">
    <w:name w:val="ListLabel 26"/>
    <w:qFormat/>
    <w:rPr>
      <w:w w:val="100"/>
    </w:rPr>
  </w:style>
  <w:style w:type="character" w:styleId="ListLabel27">
    <w:name w:val="ListLabel 27"/>
    <w:qFormat/>
    <w:rPr>
      <w:w w:val="100"/>
    </w:rPr>
  </w:style>
  <w:style w:type="character" w:styleId="ListLabel28">
    <w:name w:val="ListLabel 28"/>
    <w:qFormat/>
    <w:rPr>
      <w:w w:val="100"/>
    </w:rPr>
  </w:style>
  <w:style w:type="character" w:styleId="ListLabel29">
    <w:name w:val="ListLabel 29"/>
    <w:qFormat/>
    <w:rPr>
      <w:w w:val="100"/>
    </w:rPr>
  </w:style>
  <w:style w:type="character" w:styleId="ListLabel30">
    <w:name w:val="ListLabel 30"/>
    <w:qFormat/>
    <w:rPr>
      <w:color w:val="4B4D4D"/>
      <w:w w:val="110"/>
    </w:rPr>
  </w:style>
  <w:style w:type="character" w:styleId="ListLabel31">
    <w:name w:val="ListLabel 31"/>
    <w:qFormat/>
    <w:rPr>
      <w:w w:val="100"/>
    </w:rPr>
  </w:style>
  <w:style w:type="character" w:styleId="ListLabel32">
    <w:name w:val="ListLabel 32"/>
    <w:qFormat/>
    <w:rPr>
      <w:w w:val="100"/>
    </w:rPr>
  </w:style>
  <w:style w:type="character" w:styleId="ListLabel33">
    <w:name w:val="ListLabel 33"/>
    <w:qFormat/>
    <w:rPr>
      <w:w w:val="100"/>
    </w:rPr>
  </w:style>
  <w:style w:type="character" w:styleId="ListLabel34">
    <w:name w:val="ListLabel 34"/>
    <w:qFormat/>
    <w:rPr>
      <w:w w:val="100"/>
    </w:rPr>
  </w:style>
  <w:style w:type="character" w:styleId="ListLabel35">
    <w:name w:val="ListLabel 35"/>
    <w:qFormat/>
    <w:rPr>
      <w:w w:val="100"/>
    </w:rPr>
  </w:style>
  <w:style w:type="character" w:styleId="ListLabel36">
    <w:name w:val="ListLabel 36"/>
    <w:qFormat/>
    <w:rPr>
      <w:w w:val="100"/>
    </w:rPr>
  </w:style>
  <w:style w:type="character" w:styleId="ListLabel37">
    <w:name w:val="ListLabel 37"/>
    <w:qFormat/>
    <w:rPr>
      <w:w w:val="100"/>
    </w:rPr>
  </w:style>
  <w:style w:type="character" w:styleId="ListLabel38">
    <w:name w:val="ListLabel 38"/>
    <w:qFormat/>
    <w:rPr>
      <w:w w:val="100"/>
    </w:rPr>
  </w:style>
  <w:style w:type="character" w:styleId="ListLabel39">
    <w:name w:val="ListLabel 39"/>
    <w:qFormat/>
    <w:rPr>
      <w:w w:val="100"/>
    </w:rPr>
  </w:style>
  <w:style w:type="character" w:styleId="ListLabel40">
    <w:name w:val="ListLabel 40"/>
    <w:qFormat/>
    <w:rPr>
      <w:w w:val="100"/>
    </w:rPr>
  </w:style>
  <w:style w:type="character" w:styleId="ListLabel41">
    <w:name w:val="ListLabel 41"/>
    <w:qFormat/>
    <w:rPr>
      <w:w w:val="100"/>
    </w:rPr>
  </w:style>
  <w:style w:type="character" w:styleId="ListLabel42">
    <w:name w:val="ListLabel 42"/>
    <w:qFormat/>
    <w:rPr>
      <w:w w:val="100"/>
    </w:rPr>
  </w:style>
  <w:style w:type="character" w:styleId="ListLabel43">
    <w:name w:val="ListLabel 43"/>
    <w:qFormat/>
    <w:rPr>
      <w:w w:val="100"/>
    </w:rPr>
  </w:style>
  <w:style w:type="character" w:styleId="ListLabel44">
    <w:name w:val="ListLabel 44"/>
    <w:qFormat/>
    <w:rPr>
      <w:w w:val="100"/>
    </w:rPr>
  </w:style>
  <w:style w:type="character" w:styleId="ListLabel45">
    <w:name w:val="ListLabel 45"/>
    <w:qFormat/>
    <w:rPr>
      <w:w w:val="100"/>
    </w:rPr>
  </w:style>
  <w:style w:type="character" w:styleId="ListLabel46">
    <w:name w:val="ListLabel 46"/>
    <w:qFormat/>
    <w:rPr>
      <w:w w:val="100"/>
    </w:rPr>
  </w:style>
  <w:style w:type="character" w:styleId="ListLabel47">
    <w:name w:val="ListLabel 47"/>
    <w:qFormat/>
    <w:rPr>
      <w:w w:val="1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AkapitzlistZnak"/>
    <w:uiPriority w:val="34"/>
    <w:qFormat/>
    <w:rsid w:val="00971165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3d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14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a64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nhideWhenUsed/>
    <w:qFormat/>
    <w:rsid w:val="00aa64d4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5f385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f6532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e006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06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05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3055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695-145F-41CB-914D-0FC4BF3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 LibreOffice_project/10m0$Build-2</Application>
  <Pages>4</Pages>
  <Words>1022</Words>
  <CharactersWithSpaces>6133</CharactersWithSpaces>
  <Paragraphs>14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2022-10-18T08:03:00Z</dcterms:created>
  <dc:creator>Elżbieta Cieślak</dc:creator>
  <dc:description/>
  <dc:language>pl-PL</dc:language>
  <cp:lastModifiedBy>Andrzej Łosiewicz</cp:lastModifiedBy>
  <cp:lastPrinted>2020-02-17T12:48:00Z</cp:lastPrinted>
  <dcterms:modified xsi:type="dcterms:W3CDTF">2022-10-21T15:03:00Z</dcterms:modified>
  <cp:revision>9</cp:revision>
  <dc:subject/>
  <dc:title>Ogłoszenie o naborze2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